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b w:val="1"/>
          <w:bCs w:val="1"/>
          <w:sz w:val="30"/>
          <w:szCs w:val="30"/>
        </w:rPr>
      </w:pPr>
      <w:r w:rsidDel="00000000" w:rsidR="00000000" w:rsidRPr="00000000">
        <w:rPr>
          <w:b w:val="1"/>
          <w:bCs w:val="1"/>
          <w:sz w:val="24"/>
          <w:szCs w:val="24"/>
          <w:rtl w:val="0"/>
        </w:rPr>
        <w:t xml:space="preserve">                                                                                                                                                </w:t>
      </w:r>
      <w:r w:rsidDel="00000000" w:rsidR="00000000" w:rsidRPr="00000000">
        <w:rPr>
          <w:b w:val="1"/>
          <w:bCs w:val="1"/>
          <w:sz w:val="30"/>
          <w:szCs w:val="30"/>
          <w:rtl w:val="0"/>
        </w:rPr>
        <w:t xml:space="preserve"> ICP09</w:t>
      </w:r>
    </w:p>
    <w:p w:rsidR="00000000" w:rsidDel="00000000" w:rsidP="00000000" w:rsidRDefault="00000000" w:rsidRPr="00000000" w14:paraId="00000002">
      <w:pPr>
        <w:spacing w:line="360" w:lineRule="auto"/>
        <w:jc w:val="both"/>
        <w:rPr>
          <w:b w:val="1"/>
          <w:bCs w:val="1"/>
          <w:sz w:val="24"/>
          <w:szCs w:val="24"/>
        </w:rPr>
      </w:pPr>
      <w:r w:rsidDel="00000000" w:rsidR="00000000" w:rsidRPr="00000000">
        <w:rPr>
          <w:rtl w:val="0"/>
        </w:rPr>
      </w:r>
    </w:p>
    <w:tbl>
      <w:tblPr>
        <w:tblStyle w:val="Table1"/>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spacing w:line="360" w:lineRule="auto"/>
              <w:jc w:val="center"/>
              <w:rPr>
                <w:b w:val="1"/>
                <w:bCs w:val="1"/>
                <w:sz w:val="28"/>
                <w:szCs w:val="28"/>
              </w:rPr>
            </w:pPr>
            <w:r w:rsidDel="00000000" w:rsidR="00000000" w:rsidRPr="00000000">
              <w:rPr>
                <w:b w:val="1"/>
                <w:bCs w:val="1"/>
                <w:sz w:val="28"/>
                <w:szCs w:val="28"/>
                <w:rtl w:val="0"/>
              </w:rPr>
              <w:t xml:space="preserve">ESPECIFICACIONES TÉCNICAS DE INSTRUMENTOS MUSICALES</w:t>
            </w:r>
          </w:p>
          <w:p w:rsidR="00000000" w:rsidDel="00000000" w:rsidP="00000000" w:rsidRDefault="00000000" w:rsidRPr="00000000" w14:paraId="00000004">
            <w:pPr>
              <w:spacing w:line="360" w:lineRule="auto"/>
              <w:jc w:val="both"/>
              <w:rPr>
                <w:b w:val="1"/>
                <w:bCs w:val="1"/>
                <w:i w:val="1"/>
                <w:iCs w:val="1"/>
                <w:sz w:val="20"/>
                <w:szCs w:val="20"/>
              </w:rPr>
            </w:pPr>
            <w:r w:rsidDel="00000000" w:rsidR="00000000" w:rsidRPr="00000000">
              <w:rPr>
                <w:i w:val="1"/>
                <w:iCs w:val="1"/>
                <w:sz w:val="20"/>
                <w:szCs w:val="20"/>
                <w:rtl w:val="0"/>
              </w:rPr>
              <w:t xml:space="preserve">Que el postulante detalle las especificaciones técnicas de cada uno de los instrumentos musicales cotizados, indicando sus características, calidad y condiciones de uso, a fin de garantizar su idoneidad para la ejecución del proyecto.</w:t>
            </w:r>
            <w:r w:rsidDel="00000000" w:rsidR="00000000" w:rsidRPr="00000000">
              <w:rPr>
                <w:rtl w:val="0"/>
              </w:rPr>
            </w:r>
          </w:p>
        </w:tc>
      </w:tr>
    </w:tbl>
    <w:p w:rsidR="00000000" w:rsidDel="00000000" w:rsidP="00000000" w:rsidRDefault="00000000" w:rsidRPr="00000000" w14:paraId="00000005">
      <w:pPr>
        <w:spacing w:line="360" w:lineRule="auto"/>
        <w:jc w:val="both"/>
        <w:rPr>
          <w:sz w:val="24"/>
          <w:szCs w:val="24"/>
        </w:rPr>
      </w:pPr>
      <w:r w:rsidDel="00000000" w:rsidR="00000000" w:rsidRPr="00000000">
        <w:rPr>
          <w:rtl w:val="0"/>
        </w:rPr>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Ejemplo: </w:t>
      </w:r>
    </w:p>
    <w:p w:rsidR="00000000" w:rsidDel="00000000" w:rsidP="00000000" w:rsidRDefault="00000000" w:rsidRPr="00000000" w14:paraId="00000007">
      <w:pPr>
        <w:spacing w:line="360" w:lineRule="auto"/>
        <w:jc w:val="both"/>
        <w:rPr>
          <w:sz w:val="24"/>
          <w:szCs w:val="24"/>
        </w:rPr>
      </w:pPr>
      <w:r w:rsidDel="00000000" w:rsidR="00000000" w:rsidRPr="00000000">
        <w:rPr>
          <w:rtl w:val="0"/>
        </w:rPr>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GUITARRA ELECTROACUSTICA (6 unidades)</w:t>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Instrumento musical de cuerdas que combina las características sonoras de una guitarra acústica tradicional con la funcionalidad electrónica de amplificación. Está diseñada para ser tocada tanto de forma acústica (sin necesidad de equipos adicionales) como conectada a un amplificador, consola de sonido o sistema de grabación mediante un sistema interno de pastilla y preamplificador, se utilizará como instrumento de estudio, ensayo, ensamble y de concierto.</w:t>
      </w:r>
    </w:p>
    <w:p w:rsidR="00000000" w:rsidDel="00000000" w:rsidP="00000000" w:rsidRDefault="00000000" w:rsidRPr="00000000" w14:paraId="0000000A">
      <w:pPr>
        <w:spacing w:line="360" w:lineRule="auto"/>
        <w:jc w:val="both"/>
        <w:rPr>
          <w:sz w:val="24"/>
          <w:szCs w:val="24"/>
        </w:rPr>
      </w:pPr>
      <w:r w:rsidDel="00000000" w:rsidR="00000000" w:rsidRPr="00000000">
        <w:rPr>
          <w:rtl w:val="0"/>
        </w:rPr>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Tipo de instrumento: Guitarra electroacústica de seis cuerdas</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 Cuerpo:</w:t>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 Forma: Dreadnought o similar (con o sin corte tipo cutaway)</w:t>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 Material de la tapa: Madera natural (como abeto o caoba)</w:t>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 Aros y fondo: Madera laminada o sólida (caoba, palisandro u otras)</w:t>
      </w:r>
    </w:p>
    <w:p w:rsidR="00000000" w:rsidDel="00000000" w:rsidP="00000000" w:rsidRDefault="00000000" w:rsidRPr="00000000" w14:paraId="00000010">
      <w:pPr>
        <w:spacing w:line="360" w:lineRule="auto"/>
        <w:jc w:val="both"/>
        <w:rPr>
          <w:sz w:val="24"/>
          <w:szCs w:val="24"/>
        </w:rPr>
      </w:pPr>
      <w:r w:rsidDel="00000000" w:rsidR="00000000" w:rsidRPr="00000000">
        <w:rPr>
          <w:sz w:val="24"/>
          <w:szCs w:val="24"/>
          <w:rtl w:val="0"/>
        </w:rPr>
        <w:t xml:space="preserve">• Mástil y diapasón:</w:t>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 Mástil: Madera resistente (como caoba o nato)</w:t>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 Diapasón: Palisandro, ébano u otro material de alta durabilidad</w:t>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 Número de trastes: 20 a 22</w:t>
      </w:r>
    </w:p>
    <w:p w:rsidR="00000000" w:rsidDel="00000000" w:rsidP="00000000" w:rsidRDefault="00000000" w:rsidRPr="00000000" w14:paraId="00000014">
      <w:pPr>
        <w:spacing w:line="360" w:lineRule="auto"/>
        <w:jc w:val="both"/>
        <w:rPr>
          <w:sz w:val="24"/>
          <w:szCs w:val="24"/>
        </w:rPr>
      </w:pPr>
      <w:r w:rsidDel="00000000" w:rsidR="00000000" w:rsidRPr="00000000">
        <w:rPr>
          <w:sz w:val="24"/>
          <w:szCs w:val="24"/>
          <w:rtl w:val="0"/>
        </w:rPr>
        <w:t xml:space="preserve">• Electrónica integrada:</w:t>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 Pastilla piezoeléctrica</w:t>
      </w:r>
    </w:p>
    <w:p w:rsidR="00000000" w:rsidDel="00000000" w:rsidP="00000000" w:rsidRDefault="00000000" w:rsidRPr="00000000" w14:paraId="00000016">
      <w:pPr>
        <w:spacing w:line="360" w:lineRule="auto"/>
        <w:jc w:val="both"/>
        <w:rPr>
          <w:sz w:val="24"/>
          <w:szCs w:val="24"/>
        </w:rPr>
      </w:pPr>
      <w:r w:rsidDel="00000000" w:rsidR="00000000" w:rsidRPr="00000000">
        <w:rPr>
          <w:sz w:val="24"/>
          <w:szCs w:val="24"/>
          <w:rtl w:val="0"/>
        </w:rPr>
        <w:t xml:space="preserve">• Preamplificador con ecualizador de 3 bandas (graves, medios, agudos)</w:t>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 Control de volumen y afinador digital incorporado</w:t>
      </w:r>
    </w:p>
    <w:p w:rsidR="00000000" w:rsidDel="00000000" w:rsidP="00000000" w:rsidRDefault="00000000" w:rsidRPr="00000000" w14:paraId="00000018">
      <w:pPr>
        <w:spacing w:line="360" w:lineRule="auto"/>
        <w:jc w:val="both"/>
        <w:rPr>
          <w:sz w:val="24"/>
          <w:szCs w:val="24"/>
        </w:rPr>
      </w:pPr>
      <w:r w:rsidDel="00000000" w:rsidR="00000000" w:rsidRPr="00000000">
        <w:rPr>
          <w:sz w:val="24"/>
          <w:szCs w:val="24"/>
          <w:rtl w:val="0"/>
        </w:rPr>
        <w:t xml:space="preserve">• Salida estándar tipo jack 1/4” para conexión a amplificador o consola</w:t>
      </w:r>
    </w:p>
    <w:p w:rsidR="00000000" w:rsidDel="00000000" w:rsidP="00000000" w:rsidRDefault="00000000" w:rsidRPr="00000000" w14:paraId="00000019">
      <w:pPr>
        <w:spacing w:line="360" w:lineRule="auto"/>
        <w:jc w:val="both"/>
        <w:rPr>
          <w:sz w:val="24"/>
          <w:szCs w:val="24"/>
        </w:rPr>
      </w:pPr>
      <w:r w:rsidDel="00000000" w:rsidR="00000000" w:rsidRPr="00000000">
        <w:rPr>
          <w:sz w:val="24"/>
          <w:szCs w:val="24"/>
          <w:rtl w:val="0"/>
        </w:rPr>
        <w:t xml:space="preserve">• Puente y cejuela:</w:t>
      </w:r>
    </w:p>
    <w:p w:rsidR="00000000" w:rsidDel="00000000" w:rsidP="00000000" w:rsidRDefault="00000000" w:rsidRPr="00000000" w14:paraId="0000001A">
      <w:pPr>
        <w:spacing w:line="360" w:lineRule="auto"/>
        <w:jc w:val="both"/>
        <w:rPr>
          <w:sz w:val="24"/>
          <w:szCs w:val="24"/>
        </w:rPr>
      </w:pPr>
      <w:r w:rsidDel="00000000" w:rsidR="00000000" w:rsidRPr="00000000">
        <w:rPr>
          <w:sz w:val="24"/>
          <w:szCs w:val="24"/>
          <w:rtl w:val="0"/>
        </w:rPr>
        <w:t xml:space="preserve">• Puente: Madera dura (palisandro u otra)</w:t>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 Cejuela y selleta: Material sintético o hueso</w:t>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 Clavijas de afinación:</w:t>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 Tipo sellado (die-cast), cromadas o niqueladas, de precisión</w:t>
      </w:r>
    </w:p>
    <w:p w:rsidR="00000000" w:rsidDel="00000000" w:rsidP="00000000" w:rsidRDefault="00000000" w:rsidRPr="00000000" w14:paraId="0000001E">
      <w:pPr>
        <w:spacing w:line="360" w:lineRule="auto"/>
        <w:jc w:val="both"/>
        <w:rPr>
          <w:sz w:val="24"/>
          <w:szCs w:val="24"/>
        </w:rPr>
      </w:pPr>
      <w:r w:rsidDel="00000000" w:rsidR="00000000" w:rsidRPr="00000000">
        <w:rPr>
          <w:sz w:val="24"/>
          <w:szCs w:val="24"/>
          <w:rtl w:val="0"/>
        </w:rPr>
        <w:t xml:space="preserve">• Cuerdas:</w:t>
      </w:r>
    </w:p>
    <w:p w:rsidR="00000000" w:rsidDel="00000000" w:rsidP="00000000" w:rsidRDefault="00000000" w:rsidRPr="00000000" w14:paraId="0000001F">
      <w:pPr>
        <w:spacing w:line="360" w:lineRule="auto"/>
        <w:jc w:val="both"/>
        <w:rPr>
          <w:sz w:val="24"/>
          <w:szCs w:val="24"/>
        </w:rPr>
      </w:pPr>
      <w:r w:rsidDel="00000000" w:rsidR="00000000" w:rsidRPr="00000000">
        <w:rPr>
          <w:sz w:val="24"/>
          <w:szCs w:val="24"/>
          <w:rtl w:val="0"/>
        </w:rPr>
        <w:t xml:space="preserve">• Cuerdas de acero, calibre estándar para guitarra acústica</w:t>
      </w:r>
    </w:p>
    <w:p w:rsidR="00000000" w:rsidDel="00000000" w:rsidP="00000000" w:rsidRDefault="00000000" w:rsidRPr="00000000" w14:paraId="00000020">
      <w:pPr>
        <w:spacing w:line="360" w:lineRule="auto"/>
        <w:jc w:val="both"/>
        <w:rPr>
          <w:sz w:val="24"/>
          <w:szCs w:val="24"/>
        </w:rPr>
      </w:pPr>
      <w:r w:rsidDel="00000000" w:rsidR="00000000" w:rsidRPr="00000000">
        <w:rPr>
          <w:sz w:val="24"/>
          <w:szCs w:val="24"/>
          <w:rtl w:val="0"/>
        </w:rPr>
        <w:t xml:space="preserve">• Acabado:</w:t>
      </w:r>
    </w:p>
    <w:p w:rsidR="00000000" w:rsidDel="00000000" w:rsidP="00000000" w:rsidRDefault="00000000" w:rsidRPr="00000000" w14:paraId="00000021">
      <w:pPr>
        <w:spacing w:line="360" w:lineRule="auto"/>
        <w:jc w:val="both"/>
        <w:rPr>
          <w:sz w:val="24"/>
          <w:szCs w:val="24"/>
        </w:rPr>
      </w:pPr>
      <w:r w:rsidDel="00000000" w:rsidR="00000000" w:rsidRPr="00000000">
        <w:rPr>
          <w:sz w:val="24"/>
          <w:szCs w:val="24"/>
          <w:rtl w:val="0"/>
        </w:rPr>
        <w:t xml:space="preserve">• Natural, satinado o brillante</w:t>
      </w:r>
    </w:p>
    <w:p w:rsidR="00000000" w:rsidDel="00000000" w:rsidP="00000000" w:rsidRDefault="00000000" w:rsidRPr="00000000" w14:paraId="00000022">
      <w:pPr>
        <w:spacing w:line="360" w:lineRule="auto"/>
        <w:jc w:val="both"/>
        <w:rPr>
          <w:sz w:val="24"/>
          <w:szCs w:val="24"/>
        </w:rPr>
      </w:pPr>
      <w:r w:rsidDel="00000000" w:rsidR="00000000" w:rsidRPr="00000000">
        <w:rPr>
          <w:sz w:val="24"/>
          <w:szCs w:val="24"/>
          <w:rtl w:val="0"/>
        </w:rPr>
        <w:t xml:space="preserve">• Detalles estéticos como ribetes, golpeador y marcadores de posición</w:t>
      </w:r>
    </w:p>
    <w:p w:rsidR="00000000" w:rsidDel="00000000" w:rsidP="00000000" w:rsidRDefault="00000000" w:rsidRPr="00000000" w14:paraId="00000023">
      <w:pPr>
        <w:spacing w:line="360" w:lineRule="auto"/>
        <w:jc w:val="both"/>
        <w:rPr>
          <w:sz w:val="24"/>
          <w:szCs w:val="24"/>
        </w:rPr>
      </w:pPr>
      <w:r w:rsidDel="00000000" w:rsidR="00000000" w:rsidRPr="00000000">
        <w:rPr>
          <w:rtl w:val="0"/>
        </w:rPr>
      </w:r>
    </w:p>
    <w:p w:rsidR="00000000" w:rsidDel="00000000" w:rsidP="00000000" w:rsidRDefault="00000000" w:rsidRPr="00000000" w14:paraId="00000024">
      <w:pPr>
        <w:spacing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360" w:lineRule="auto"/>
        <w:jc w:val="both"/>
        <w:rPr>
          <w:sz w:val="24"/>
          <w:szCs w:val="24"/>
        </w:rPr>
      </w:pPr>
      <w:r w:rsidDel="00000000" w:rsidR="00000000" w:rsidRPr="00000000">
        <w:rPr>
          <w:rtl w:val="0"/>
        </w:rPr>
      </w:r>
    </w:p>
    <w:p w:rsidR="00000000" w:rsidDel="00000000" w:rsidP="00000000" w:rsidRDefault="00000000" w:rsidRPr="00000000" w14:paraId="00000026">
      <w:pPr>
        <w:spacing w:line="360" w:lineRule="auto"/>
        <w:jc w:val="both"/>
        <w:rPr>
          <w:sz w:val="24"/>
          <w:szCs w:val="24"/>
        </w:rPr>
      </w:pPr>
      <w:r w:rsidDel="00000000" w:rsidR="00000000" w:rsidRPr="00000000">
        <w:rPr>
          <w:rtl w:val="0"/>
        </w:rPr>
      </w:r>
    </w:p>
    <w:p w:rsidR="00000000" w:rsidDel="00000000" w:rsidP="00000000" w:rsidRDefault="00000000" w:rsidRPr="00000000" w14:paraId="00000027">
      <w:pPr>
        <w:spacing w:line="360" w:lineRule="auto"/>
        <w:jc w:val="both"/>
        <w:rPr>
          <w:sz w:val="24"/>
          <w:szCs w:val="24"/>
        </w:rPr>
      </w:pPr>
      <w:r w:rsidDel="00000000" w:rsidR="00000000" w:rsidRPr="00000000">
        <w:rPr>
          <w:rtl w:val="0"/>
        </w:rPr>
      </w:r>
    </w:p>
    <w:p w:rsidR="00000000" w:rsidDel="00000000" w:rsidP="00000000" w:rsidRDefault="00000000" w:rsidRPr="00000000" w14:paraId="00000028">
      <w:pPr>
        <w:spacing w:line="360" w:lineRule="auto"/>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rtl w:val="0"/>
        </w:rPr>
      </w:r>
    </w:p>
    <w:tbl>
      <w:tblPr>
        <w:tblStyle w:val="Table2"/>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
        <w:gridCol w:w="5270"/>
        <w:tblGridChange w:id="0">
          <w:tblGrid>
            <w:gridCol w:w="5270"/>
            <w:gridCol w:w="52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Héctor Tucab</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Presidente del Grupo Teclas Adescanas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Jaime Barrios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Instructor Musical</w:t>
            </w:r>
          </w:p>
        </w:tc>
      </w:tr>
    </w:tbl>
    <w:p w:rsidR="00000000" w:rsidDel="00000000" w:rsidP="00000000" w:rsidRDefault="00000000" w:rsidRPr="00000000" w14:paraId="00000030">
      <w:pPr>
        <w:spacing w:line="360" w:lineRule="auto"/>
        <w:jc w:val="both"/>
        <w:rPr>
          <w:sz w:val="24"/>
          <w:szCs w:val="24"/>
        </w:rPr>
      </w:pPr>
      <w:r w:rsidDel="00000000" w:rsidR="00000000" w:rsidRPr="00000000">
        <w:rPr>
          <w:rtl w:val="0"/>
        </w:rPr>
      </w:r>
    </w:p>
    <w:sectPr>
      <w:pgSz w:h="15840" w:w="12240" w:orient="portrait"/>
      <w:pgMar w:bottom="1133.8582677165355" w:top="1133.8582677165355"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